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F6D" w:rsidRDefault="00675F6D" w:rsidP="00675F6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General Juan Madariaga, </w:t>
      </w:r>
      <w:r w:rsidR="00614055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F44493">
        <w:rPr>
          <w:rFonts w:ascii="Times New Roman" w:hAnsi="Times New Roman" w:cs="Times New Roman"/>
          <w:sz w:val="24"/>
          <w:szCs w:val="24"/>
        </w:rPr>
        <w:t>diciembre</w:t>
      </w:r>
      <w:r>
        <w:rPr>
          <w:rFonts w:ascii="Times New Roman" w:hAnsi="Times New Roman" w:cs="Times New Roman"/>
          <w:sz w:val="24"/>
          <w:szCs w:val="24"/>
        </w:rPr>
        <w:t xml:space="preserve"> de 2020.-</w:t>
      </w:r>
    </w:p>
    <w:p w:rsidR="00675F6D" w:rsidRDefault="00675F6D" w:rsidP="00AA34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5F6D" w:rsidRDefault="00675F6D" w:rsidP="00AA34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5F6D" w:rsidRDefault="00675F6D" w:rsidP="00AA34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34E4" w:rsidRDefault="00AA34E4" w:rsidP="00AA34E4">
      <w:pPr>
        <w:jc w:val="both"/>
        <w:rPr>
          <w:rFonts w:ascii="Times New Roman" w:hAnsi="Times New Roman" w:cs="Times New Roman"/>
          <w:sz w:val="24"/>
          <w:szCs w:val="24"/>
        </w:rPr>
      </w:pPr>
      <w:r w:rsidRPr="00675F6D">
        <w:rPr>
          <w:rFonts w:ascii="Times New Roman" w:hAnsi="Times New Roman" w:cs="Times New Roman"/>
          <w:b/>
          <w:i/>
          <w:sz w:val="24"/>
          <w:szCs w:val="24"/>
        </w:rPr>
        <w:t>VISTO:</w:t>
      </w:r>
      <w:r>
        <w:rPr>
          <w:rFonts w:ascii="Times New Roman" w:hAnsi="Times New Roman" w:cs="Times New Roman"/>
          <w:sz w:val="24"/>
          <w:szCs w:val="24"/>
        </w:rPr>
        <w:t xml:space="preserve"> Expte. Interno 8076 iniciado por el Bloque Juntos por el Cambio ref. valorizaciones inmobiliarias; y </w:t>
      </w:r>
    </w:p>
    <w:p w:rsidR="00AA34E4" w:rsidRDefault="00AA34E4" w:rsidP="00AA34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34E4" w:rsidRPr="00675F6D" w:rsidRDefault="00AA34E4" w:rsidP="00AA34E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75F6D">
        <w:rPr>
          <w:rFonts w:ascii="Times New Roman" w:hAnsi="Times New Roman" w:cs="Times New Roman"/>
          <w:b/>
          <w:i/>
          <w:sz w:val="24"/>
          <w:szCs w:val="24"/>
        </w:rPr>
        <w:t xml:space="preserve">CONSIDERANDO: </w:t>
      </w:r>
    </w:p>
    <w:p w:rsidR="00F44493" w:rsidRDefault="00F44493" w:rsidP="004C520E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</w:t>
      </w:r>
      <w:r w:rsidR="00614055">
        <w:rPr>
          <w:rFonts w:ascii="Times New Roman" w:hAnsi="Times New Roman" w:cs="Times New Roman"/>
          <w:sz w:val="24"/>
          <w:szCs w:val="24"/>
        </w:rPr>
        <w:t>la Ordenanza Preparatoria del 10 de diciembre de 2020 fue aprobada por mayoría en la Asamblea de Concejales y Mayores Contribuyentes celebrada el pasado 21 de diciembre de 2020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9056B" w:rsidRDefault="00D9056B" w:rsidP="004C520E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vigencia de la Ley 14.449;</w:t>
      </w:r>
    </w:p>
    <w:p w:rsidR="00AA34E4" w:rsidRDefault="00D9056B" w:rsidP="004C520E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la Sección V de dicha norma establece la participación en las valorizaciones inmobiliarias generadas por la acción urbanística;</w:t>
      </w:r>
    </w:p>
    <w:p w:rsidR="00D9056B" w:rsidRDefault="00D9056B" w:rsidP="004C520E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el articulo 50 establece la necesidad que cada Municipio dicte su Ordenanza al respecto;</w:t>
      </w:r>
    </w:p>
    <w:p w:rsidR="00614055" w:rsidRDefault="00614055" w:rsidP="004C520E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D9056B" w:rsidRDefault="00D9056B" w:rsidP="004C520E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ello; </w:t>
      </w:r>
      <w:r w:rsidR="00F44493">
        <w:rPr>
          <w:rFonts w:ascii="Times New Roman" w:hAnsi="Times New Roman" w:cs="Times New Roman"/>
          <w:sz w:val="24"/>
          <w:szCs w:val="24"/>
        </w:rPr>
        <w:t>el Honorable Concejo Deliberante en uso de sus atribuciones sanciona con fuerza de</w:t>
      </w:r>
      <w:r w:rsidR="00675F6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75F6D" w:rsidRDefault="00675F6D" w:rsidP="00AA34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4055" w:rsidRDefault="00614055" w:rsidP="00AA34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056B" w:rsidRPr="00675F6D" w:rsidRDefault="00D9056B" w:rsidP="004C520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75F6D">
        <w:rPr>
          <w:rFonts w:ascii="Times New Roman" w:hAnsi="Times New Roman" w:cs="Times New Roman"/>
          <w:b/>
          <w:i/>
          <w:sz w:val="24"/>
          <w:szCs w:val="24"/>
        </w:rPr>
        <w:t>ORDENANZA</w:t>
      </w:r>
    </w:p>
    <w:p w:rsidR="004C520E" w:rsidRDefault="004C520E" w:rsidP="00AA34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4055" w:rsidRDefault="00614055" w:rsidP="00AA34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679D" w:rsidRDefault="00D9056B" w:rsidP="00AA34E4">
      <w:pPr>
        <w:jc w:val="both"/>
        <w:rPr>
          <w:rFonts w:ascii="Times New Roman" w:hAnsi="Times New Roman" w:cs="Times New Roman"/>
          <w:sz w:val="24"/>
          <w:szCs w:val="24"/>
        </w:rPr>
      </w:pPr>
      <w:r w:rsidRPr="00675F6D">
        <w:rPr>
          <w:rFonts w:ascii="Times New Roman" w:hAnsi="Times New Roman" w:cs="Times New Roman"/>
          <w:b/>
          <w:i/>
          <w:sz w:val="24"/>
          <w:szCs w:val="24"/>
        </w:rPr>
        <w:t xml:space="preserve">ARTICULO 1°.- </w:t>
      </w:r>
      <w:r>
        <w:rPr>
          <w:rFonts w:ascii="Times New Roman" w:hAnsi="Times New Roman" w:cs="Times New Roman"/>
          <w:sz w:val="24"/>
          <w:szCs w:val="24"/>
        </w:rPr>
        <w:t xml:space="preserve">Conforme lo establece el </w:t>
      </w:r>
      <w:proofErr w:type="gramStart"/>
      <w:r>
        <w:rPr>
          <w:rFonts w:ascii="Times New Roman" w:hAnsi="Times New Roman" w:cs="Times New Roman"/>
          <w:sz w:val="24"/>
          <w:szCs w:val="24"/>
        </w:rPr>
        <w:t>articulo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46 de la Ley 14.449, por las actuaciones administrativas, y/o intervenciones municipales, que produzcan una significativa valorización de los inmuebles, así como las inversiones privadas en infraestructura y equipamiento, autorizadas o </w:t>
      </w:r>
      <w:r w:rsidR="0045679D">
        <w:rPr>
          <w:rFonts w:ascii="Times New Roman" w:hAnsi="Times New Roman" w:cs="Times New Roman"/>
          <w:sz w:val="24"/>
          <w:szCs w:val="24"/>
        </w:rPr>
        <w:t>promovidas por el Municipio. Se establece a favor de la Municipalidad de General Madariaga el derecho de participación en la renta diferencial urbana, aplicable  a todas las personas, físicas o jurídicas, propietarias de inmuebles que se encuentren ubicados dentro de los límites del Partido de General Madariaga y que  resultaren beneficiados con un mayor valor de su propiedad producto de disposiciones administrativas del Estado Municipal y ajeno a las acciones realizadas por el propietario.-</w:t>
      </w:r>
    </w:p>
    <w:p w:rsidR="0045679D" w:rsidRDefault="0045679D" w:rsidP="00AA34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4055" w:rsidRDefault="00614055" w:rsidP="00AA34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679D" w:rsidRDefault="0045679D" w:rsidP="00AA34E4">
      <w:pPr>
        <w:jc w:val="both"/>
        <w:rPr>
          <w:rFonts w:ascii="Times New Roman" w:hAnsi="Times New Roman" w:cs="Times New Roman"/>
          <w:sz w:val="24"/>
          <w:szCs w:val="24"/>
        </w:rPr>
      </w:pPr>
      <w:r w:rsidRPr="00675F6D">
        <w:rPr>
          <w:rFonts w:ascii="Times New Roman" w:hAnsi="Times New Roman" w:cs="Times New Roman"/>
          <w:b/>
          <w:i/>
          <w:sz w:val="24"/>
          <w:szCs w:val="24"/>
        </w:rPr>
        <w:t>ARTICULO 2°.-</w:t>
      </w:r>
      <w:r>
        <w:rPr>
          <w:rFonts w:ascii="Times New Roman" w:hAnsi="Times New Roman" w:cs="Times New Roman"/>
          <w:sz w:val="24"/>
          <w:szCs w:val="24"/>
        </w:rPr>
        <w:t xml:space="preserve"> Hechos generadores de la participación del municipio en las valorizaciones inmobiliarias. Constituyen hechos generadores de la participación del Municipio en las valorizaciones inmobiliarias en su ejido, los siguientes:</w:t>
      </w:r>
    </w:p>
    <w:p w:rsidR="0045679D" w:rsidRDefault="0045679D" w:rsidP="0045679D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incorporación al área complementaria o al área urbana de inmuebles clasificados dentro del espacio territorial del área rural.-</w:t>
      </w:r>
    </w:p>
    <w:p w:rsidR="0045679D" w:rsidRDefault="0045679D" w:rsidP="0045679D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incorporación al </w:t>
      </w:r>
      <w:r w:rsidR="004C520E">
        <w:rPr>
          <w:rFonts w:ascii="Times New Roman" w:hAnsi="Times New Roman" w:cs="Times New Roman"/>
          <w:sz w:val="24"/>
          <w:szCs w:val="24"/>
        </w:rPr>
        <w:t>Área</w:t>
      </w:r>
      <w:r>
        <w:rPr>
          <w:rFonts w:ascii="Times New Roman" w:hAnsi="Times New Roman" w:cs="Times New Roman"/>
          <w:sz w:val="24"/>
          <w:szCs w:val="24"/>
        </w:rPr>
        <w:t xml:space="preserve"> Urbana de inmuebles clasificados dentro del espacio territorial del </w:t>
      </w:r>
      <w:r w:rsidR="004C520E">
        <w:rPr>
          <w:rFonts w:ascii="Times New Roman" w:hAnsi="Times New Roman" w:cs="Times New Roman"/>
          <w:sz w:val="24"/>
          <w:szCs w:val="24"/>
        </w:rPr>
        <w:t>Área</w:t>
      </w:r>
      <w:r>
        <w:rPr>
          <w:rFonts w:ascii="Times New Roman" w:hAnsi="Times New Roman" w:cs="Times New Roman"/>
          <w:sz w:val="24"/>
          <w:szCs w:val="24"/>
        </w:rPr>
        <w:t xml:space="preserve"> Complementaria.-</w:t>
      </w:r>
    </w:p>
    <w:p w:rsidR="0045679D" w:rsidRDefault="0045679D" w:rsidP="0045679D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establecimiento o la modificación del régimen de usos del suelo o la zonificación territorial.-</w:t>
      </w:r>
    </w:p>
    <w:p w:rsidR="0045679D" w:rsidRDefault="0045679D" w:rsidP="0045679D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autorización de un mayor aprovechamiento edificatorio de las parcelas bien sea elevando el factor de Ocupación del Suelo, el Factor de Ocupación Total y la Densidad en conjunto o individualmente.-</w:t>
      </w:r>
    </w:p>
    <w:p w:rsidR="0045679D" w:rsidRDefault="0045679D" w:rsidP="0045679D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La ejecución de obras públicas cuando no se haya utilizado para su financiación el mecanismo de contribución por mejoras.-</w:t>
      </w:r>
    </w:p>
    <w:p w:rsidR="0045679D" w:rsidRDefault="0045679D" w:rsidP="0045679D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 autorizaciones administrativas que permitan o generen grandes desarrollos inmobiliarios.-</w:t>
      </w:r>
    </w:p>
    <w:p w:rsidR="0045679D" w:rsidRDefault="0045679D" w:rsidP="0045679D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Autorización y visado de planos de afectación a régimen de propiedad horizontal, unificación y subdivisión de parcelas.-</w:t>
      </w:r>
    </w:p>
    <w:p w:rsidR="0045679D" w:rsidRDefault="0045679D" w:rsidP="0045679D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Todo otro hecho, obra, acción o decisión administrativa que permita, en conjunto o individualmente, el incremento del valor del inmueble motivo de la misma, por posibilitar su uso </w:t>
      </w:r>
      <w:r w:rsidR="004C520E">
        <w:rPr>
          <w:rFonts w:ascii="Times New Roman" w:hAnsi="Times New Roman" w:cs="Times New Roman"/>
          <w:sz w:val="24"/>
          <w:szCs w:val="24"/>
        </w:rPr>
        <w:t>más</w:t>
      </w:r>
      <w:r>
        <w:rPr>
          <w:rFonts w:ascii="Times New Roman" w:hAnsi="Times New Roman" w:cs="Times New Roman"/>
          <w:sz w:val="24"/>
          <w:szCs w:val="24"/>
        </w:rPr>
        <w:t xml:space="preserve"> rentable o por el incremento del aprovechamiento de las parcelas con un mayor volumen  o área edificable.</w:t>
      </w:r>
    </w:p>
    <w:p w:rsidR="0045679D" w:rsidRDefault="0045679D" w:rsidP="0045679D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hechos generadores descriptos dan lugar a la Contribución.</w:t>
      </w:r>
    </w:p>
    <w:p w:rsidR="0045679D" w:rsidRDefault="0045679D" w:rsidP="004567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4055" w:rsidRDefault="00614055" w:rsidP="004567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4DAB" w:rsidRDefault="0045679D" w:rsidP="0045679D">
      <w:pPr>
        <w:jc w:val="both"/>
        <w:rPr>
          <w:rFonts w:ascii="Times New Roman" w:hAnsi="Times New Roman" w:cs="Times New Roman"/>
          <w:sz w:val="24"/>
          <w:szCs w:val="24"/>
        </w:rPr>
      </w:pPr>
      <w:r w:rsidRPr="00675F6D">
        <w:rPr>
          <w:rFonts w:ascii="Times New Roman" w:hAnsi="Times New Roman" w:cs="Times New Roman"/>
          <w:b/>
          <w:i/>
          <w:sz w:val="24"/>
          <w:szCs w:val="24"/>
        </w:rPr>
        <w:t>ARTICULO 3°.-</w:t>
      </w:r>
      <w:r>
        <w:rPr>
          <w:rFonts w:ascii="Times New Roman" w:hAnsi="Times New Roman" w:cs="Times New Roman"/>
          <w:sz w:val="24"/>
          <w:szCs w:val="24"/>
        </w:rPr>
        <w:t xml:space="preserve"> Carácter de la participación municipal en las valorizaciones inmobiliarias. Las participaciones de los Municipios en las valorizaciones inmobiliarias</w:t>
      </w:r>
      <w:r w:rsidR="00174DAB">
        <w:rPr>
          <w:rFonts w:ascii="Times New Roman" w:hAnsi="Times New Roman" w:cs="Times New Roman"/>
          <w:sz w:val="24"/>
          <w:szCs w:val="24"/>
        </w:rPr>
        <w:t xml:space="preserve"> establecidas en la presente Ley, en los casos que corresponda, se hacen efectivas con carácter adicional y complementario a las cesiones establecidas en el articulo 56 del decreto – Ley 8912/77 T.O. por el Decreto n° 3389/87 y sus normas modificatorias.-</w:t>
      </w:r>
    </w:p>
    <w:p w:rsidR="00174DAB" w:rsidRDefault="00174DAB" w:rsidP="004567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4055" w:rsidRDefault="00614055" w:rsidP="004567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4DAB" w:rsidRDefault="00174DAB" w:rsidP="0045679D">
      <w:pPr>
        <w:jc w:val="both"/>
        <w:rPr>
          <w:rFonts w:ascii="Times New Roman" w:hAnsi="Times New Roman" w:cs="Times New Roman"/>
          <w:sz w:val="24"/>
          <w:szCs w:val="24"/>
        </w:rPr>
      </w:pPr>
      <w:r w:rsidRPr="00675F6D">
        <w:rPr>
          <w:rFonts w:ascii="Times New Roman" w:hAnsi="Times New Roman" w:cs="Times New Roman"/>
          <w:b/>
          <w:i/>
          <w:sz w:val="24"/>
          <w:szCs w:val="24"/>
        </w:rPr>
        <w:t>ARTICULO 4°.-</w:t>
      </w:r>
      <w:r>
        <w:rPr>
          <w:rFonts w:ascii="Times New Roman" w:hAnsi="Times New Roman" w:cs="Times New Roman"/>
          <w:sz w:val="24"/>
          <w:szCs w:val="24"/>
        </w:rPr>
        <w:t xml:space="preserve"> Momentos de exigibilidad. La participación en las valorizaciones inmobiliarias solo es exigible cuando se presente para el propietario o poseedor del inmueble cualquiera de las siguientes situaciones: </w:t>
      </w:r>
    </w:p>
    <w:p w:rsidR="00174DAB" w:rsidRDefault="00174DAB" w:rsidP="00174DAB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Solicitud de permiso de urbanización o construcción, aplicable para el cobro de la participación en la renta generada por cualquiera de los hechos generadores de que trata el articulo 46 de la presente Ley.-</w:t>
      </w:r>
    </w:p>
    <w:p w:rsidR="00174DAB" w:rsidRDefault="00174DAB" w:rsidP="00174DAB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Cambio efectivo de uso del inmueble, aplicable para el cobro de la participación en la renta generada por la modificación del régimen o zonificación del suelo.-</w:t>
      </w:r>
    </w:p>
    <w:p w:rsidR="00174DAB" w:rsidRDefault="00174DAB" w:rsidP="00174DAB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Actos que impliquen transferencia del dominio sobre el inmueble en forma total o parcial, con excepción de aquellos resultantes de herencias y donaciones sin cargo, aplicable al cobro de la participación en la renta.-</w:t>
      </w:r>
    </w:p>
    <w:p w:rsidR="00174DAB" w:rsidRDefault="00174DAB" w:rsidP="00174DAB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Momentos de exigibilidad. Cuando se verifiquen los supuestos previstos en los incisos a), b) y c), el Municipio respectivo deberá determinar de oficio el monto y plazo de pago de la contribución.-</w:t>
      </w:r>
    </w:p>
    <w:p w:rsidR="00174DAB" w:rsidRDefault="00174DAB" w:rsidP="00174D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4055" w:rsidRDefault="00614055" w:rsidP="00174D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4DAB" w:rsidRDefault="00174DAB" w:rsidP="00174DAB">
      <w:pPr>
        <w:jc w:val="both"/>
        <w:rPr>
          <w:rFonts w:ascii="Times New Roman" w:hAnsi="Times New Roman" w:cs="Times New Roman"/>
          <w:sz w:val="24"/>
          <w:szCs w:val="24"/>
        </w:rPr>
      </w:pPr>
      <w:r w:rsidRPr="00675F6D">
        <w:rPr>
          <w:rFonts w:ascii="Times New Roman" w:hAnsi="Times New Roman" w:cs="Times New Roman"/>
          <w:b/>
          <w:i/>
          <w:sz w:val="24"/>
          <w:szCs w:val="24"/>
        </w:rPr>
        <w:t>ARTICULO 5°.-</w:t>
      </w:r>
      <w:r>
        <w:rPr>
          <w:rFonts w:ascii="Times New Roman" w:hAnsi="Times New Roman" w:cs="Times New Roman"/>
          <w:sz w:val="24"/>
          <w:szCs w:val="24"/>
        </w:rPr>
        <w:t xml:space="preserve"> Formas de pago. La participación en la renta urbana puede efectivizarse mediante cualquiera de los siguientes medios, siendo ellos de aplicación en forma alternativa o combinada:</w:t>
      </w:r>
    </w:p>
    <w:p w:rsidR="00174DAB" w:rsidRDefault="00174DAB" w:rsidP="00174DAB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dinero efectivo, que será destinado exclusivamente a la construcción o mejoramiento de viviendas y/o construcción de obras de infraestructura de servicios públicos y/o de áreas de recreación y equipamientos sociales en sectores de asentamientos o viviendas de población de bajos recursos.-</w:t>
      </w:r>
    </w:p>
    <w:p w:rsidR="00174DAB" w:rsidRDefault="00174DAB" w:rsidP="00174DAB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Cediendo al Municipio una porción del inmueble objeto de la participación, de valor equivalente a su monto.-</w:t>
      </w:r>
    </w:p>
    <w:p w:rsidR="00174DAB" w:rsidRDefault="00174DAB" w:rsidP="00174DAB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Cediendo al Municipio inmuebles localizados en otras zonas del </w:t>
      </w:r>
      <w:r w:rsidR="004C520E">
        <w:rPr>
          <w:rFonts w:ascii="Times New Roman" w:hAnsi="Times New Roman" w:cs="Times New Roman"/>
          <w:sz w:val="24"/>
          <w:szCs w:val="24"/>
        </w:rPr>
        <w:t>Área</w:t>
      </w:r>
      <w:r>
        <w:rPr>
          <w:rFonts w:ascii="Times New Roman" w:hAnsi="Times New Roman" w:cs="Times New Roman"/>
          <w:sz w:val="24"/>
          <w:szCs w:val="24"/>
        </w:rPr>
        <w:t xml:space="preserve"> Urbana y/o Complementaria, accesibles desde la vía, previo cálculo de equivalencia de valores entre </w:t>
      </w:r>
      <w:r>
        <w:rPr>
          <w:rFonts w:ascii="Times New Roman" w:hAnsi="Times New Roman" w:cs="Times New Roman"/>
          <w:sz w:val="24"/>
          <w:szCs w:val="24"/>
        </w:rPr>
        <w:lastRenderedPageBreak/>
        <w:t>ambos emplazamientos, incorporando las valorizaciones producidas por la aprobación del emprendimiento y por la modificación de la norma urbanística que se requiera.</w:t>
      </w:r>
    </w:p>
    <w:p w:rsidR="00174DAB" w:rsidRDefault="00174DAB" w:rsidP="00174DAB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Formas de pago. El medio de pago será a elección del sujeto obligado al pago. En los supuestos previstos en los incisos b) y c)  cada Municipio determinará la equivalencia entre el monto de la contribución y el inmueble cedido en pago.-</w:t>
      </w:r>
    </w:p>
    <w:p w:rsidR="00D9056B" w:rsidRDefault="00D9056B" w:rsidP="00174DAB">
      <w:pPr>
        <w:jc w:val="both"/>
        <w:rPr>
          <w:rFonts w:ascii="Times New Roman" w:hAnsi="Times New Roman" w:cs="Times New Roman"/>
          <w:sz w:val="24"/>
          <w:szCs w:val="24"/>
        </w:rPr>
      </w:pPr>
      <w:r w:rsidRPr="00174D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4055" w:rsidRDefault="00614055" w:rsidP="00174D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4DAB" w:rsidRDefault="00174DAB" w:rsidP="00174DAB">
      <w:pPr>
        <w:jc w:val="both"/>
        <w:rPr>
          <w:rFonts w:ascii="Times New Roman" w:hAnsi="Times New Roman" w:cs="Times New Roman"/>
          <w:sz w:val="24"/>
          <w:szCs w:val="24"/>
        </w:rPr>
      </w:pPr>
      <w:r w:rsidRPr="00675F6D">
        <w:rPr>
          <w:rFonts w:ascii="Times New Roman" w:hAnsi="Times New Roman" w:cs="Times New Roman"/>
          <w:b/>
          <w:i/>
          <w:sz w:val="24"/>
          <w:szCs w:val="24"/>
        </w:rPr>
        <w:t>ARTICULO 6°.-</w:t>
      </w:r>
      <w:r>
        <w:rPr>
          <w:rFonts w:ascii="Times New Roman" w:hAnsi="Times New Roman" w:cs="Times New Roman"/>
          <w:sz w:val="24"/>
          <w:szCs w:val="24"/>
        </w:rPr>
        <w:t xml:space="preserve"> Contribución obligatoria sobre la valorización inmobiliaria. Se fija una contribución obligatoria del diez por ciento (10%) de la valorización inmobiliaria generada por los hechos enunciados en el articulo 1° de la presente Ordenanza. A efectos del cálculo de la contribución, la Oficina de Tasación Municipal efectuará la valuación previa y posterior a la ocurrencia de cualquier de los hechos generadores previstos en el articulo 1° de la Ordenanza, aplicándose la contribución sobre la diferencia entre ambas valuaciones. El Honorable Concejo Deliberante podrá autorizar, en carácter de excepción, por sí o a propuesta del Departamento Ejecutivo, un porcentaje diferente, teniendo en cuenta siempre razones de estricta equidad y justicia distributiva.-</w:t>
      </w:r>
    </w:p>
    <w:p w:rsidR="00174DAB" w:rsidRDefault="00174DAB" w:rsidP="00174D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4055" w:rsidRDefault="00614055" w:rsidP="00174D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4DAB" w:rsidRDefault="00174DAB" w:rsidP="00174DA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5F6D">
        <w:rPr>
          <w:rFonts w:ascii="Times New Roman" w:hAnsi="Times New Roman" w:cs="Times New Roman"/>
          <w:b/>
          <w:i/>
          <w:sz w:val="24"/>
          <w:szCs w:val="24"/>
        </w:rPr>
        <w:t>ARTICULO</w:t>
      </w:r>
      <w:proofErr w:type="gramEnd"/>
      <w:r w:rsidRPr="00675F6D">
        <w:rPr>
          <w:rFonts w:ascii="Times New Roman" w:hAnsi="Times New Roman" w:cs="Times New Roman"/>
          <w:b/>
          <w:i/>
          <w:sz w:val="24"/>
          <w:szCs w:val="24"/>
        </w:rPr>
        <w:t xml:space="preserve"> 7°.-</w:t>
      </w:r>
      <w:r>
        <w:rPr>
          <w:rFonts w:ascii="Times New Roman" w:hAnsi="Times New Roman" w:cs="Times New Roman"/>
          <w:sz w:val="24"/>
          <w:szCs w:val="24"/>
        </w:rPr>
        <w:t xml:space="preserve"> Grandes desarrollos inmobiliarios. Determinación presunta y pago a cuenta. Los sujetos obligados al pago de la contribución establecida por el Municipio en que se desarrollen los emprendimientos indicados en el articulo 1° inciso f) de la presente Ordenanza, tales como emprendimientos de Clubes de campo, barrios cerrados y toda otra forma de urbanización cerrada; o cementerios privados o de emprendimientos de grandes superficies comerciales, quedando incluidos en </w:t>
      </w:r>
      <w:r w:rsidR="00685808">
        <w:rPr>
          <w:rFonts w:ascii="Times New Roman" w:hAnsi="Times New Roman" w:cs="Times New Roman"/>
          <w:sz w:val="24"/>
          <w:szCs w:val="24"/>
        </w:rPr>
        <w:t xml:space="preserve">esta última categoría los establecimientos que conformen una cadena de distribución según lo establecido en la Ley n° 12.573 y su reglamentación, siempre que ocupen predios de </w:t>
      </w:r>
      <w:r w:rsidR="004C520E">
        <w:rPr>
          <w:rFonts w:ascii="Times New Roman" w:hAnsi="Times New Roman" w:cs="Times New Roman"/>
          <w:sz w:val="24"/>
          <w:szCs w:val="24"/>
        </w:rPr>
        <w:t>más</w:t>
      </w:r>
      <w:r w:rsidR="00685808">
        <w:rPr>
          <w:rFonts w:ascii="Times New Roman" w:hAnsi="Times New Roman" w:cs="Times New Roman"/>
          <w:sz w:val="24"/>
          <w:szCs w:val="24"/>
        </w:rPr>
        <w:t xml:space="preserve"> de cinco mil metros cuadrados (5.000 m2), sin importar el área o zona del ejido municipal en la se instalen, de acuerdo a lo dispuestos en los incisos b) y c) del articulo 4°, cederán como pago a cuenta de la determinación definitiva, sujeto al cómputo de equivalencia y valorización final, el cinco 5% de la superficie total de los predios afectados y sus equivalentes en dinero o suelo urbanizable.-</w:t>
      </w:r>
    </w:p>
    <w:p w:rsidR="00685808" w:rsidRDefault="00685808" w:rsidP="00174D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Determinación presunta y pago a cuenta. En aquellos casos en que el sujeto obligado opte por realizar el pago a cuenta del cinco (5%) de la superficie total de los predios afectados en dinero o suelo urbanizable, a los efectos del cómputo de su equivalencia deberá considerarse el precio de adquisición del bien abonado o el de la valuación fiscal a ese momento si fuese superior.-</w:t>
      </w:r>
    </w:p>
    <w:p w:rsidR="00685808" w:rsidRDefault="00685808" w:rsidP="00174D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4055" w:rsidRDefault="00614055" w:rsidP="00174D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5808" w:rsidRDefault="00685808" w:rsidP="00174DAB">
      <w:pPr>
        <w:jc w:val="both"/>
        <w:rPr>
          <w:rFonts w:ascii="Times New Roman" w:hAnsi="Times New Roman" w:cs="Times New Roman"/>
          <w:sz w:val="24"/>
          <w:szCs w:val="24"/>
        </w:rPr>
      </w:pPr>
      <w:r w:rsidRPr="00675F6D">
        <w:rPr>
          <w:rFonts w:ascii="Times New Roman" w:hAnsi="Times New Roman" w:cs="Times New Roman"/>
          <w:b/>
          <w:i/>
          <w:sz w:val="24"/>
          <w:szCs w:val="24"/>
        </w:rPr>
        <w:t>ARTICULO 8°.-</w:t>
      </w:r>
      <w:r>
        <w:rPr>
          <w:rFonts w:ascii="Times New Roman" w:hAnsi="Times New Roman" w:cs="Times New Roman"/>
          <w:sz w:val="24"/>
          <w:szCs w:val="24"/>
        </w:rPr>
        <w:t xml:space="preserve"> Contribuyentes. La obligación de pago del Tributo establecido por esta ordenanza se aplicará a: </w:t>
      </w:r>
    </w:p>
    <w:p w:rsidR="00685808" w:rsidRDefault="00685808" w:rsidP="00685808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titulares de dominio de los inmuebles.</w:t>
      </w:r>
    </w:p>
    <w:p w:rsidR="00685808" w:rsidRDefault="00685808" w:rsidP="00685808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usufructuarios de los inmuebles.</w:t>
      </w:r>
    </w:p>
    <w:p w:rsidR="00685808" w:rsidRDefault="00685808" w:rsidP="00685808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poseedores a título de dueño de los inmuebles.</w:t>
      </w:r>
    </w:p>
    <w:p w:rsidR="00685808" w:rsidRDefault="00685808" w:rsidP="00685808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caso de transferencia de dominio, el transmitente.</w:t>
      </w:r>
    </w:p>
    <w:p w:rsidR="00685808" w:rsidRDefault="00685808" w:rsidP="00685808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del análisis efectuado por la oficina de catastro municipal, con posterioridad a la confección de la escritura de dominio o boleto de compraventa, se determinare un importe del inmueble mayor al de los instrumentos citados, el adquirente será el responsable de la diferencia del pago no efectuada en su momento.</w:t>
      </w:r>
    </w:p>
    <w:p w:rsidR="00685808" w:rsidRDefault="00685808" w:rsidP="00685808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caso de transferencia por herencia, los herederos.-</w:t>
      </w:r>
    </w:p>
    <w:p w:rsidR="00685808" w:rsidRDefault="00685808" w:rsidP="006858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5808" w:rsidRDefault="00685808" w:rsidP="00685808">
      <w:pPr>
        <w:jc w:val="both"/>
        <w:rPr>
          <w:rFonts w:ascii="Times New Roman" w:hAnsi="Times New Roman" w:cs="Times New Roman"/>
          <w:sz w:val="24"/>
          <w:szCs w:val="24"/>
        </w:rPr>
      </w:pPr>
      <w:r w:rsidRPr="00675F6D">
        <w:rPr>
          <w:rFonts w:ascii="Times New Roman" w:hAnsi="Times New Roman" w:cs="Times New Roman"/>
          <w:b/>
          <w:i/>
          <w:sz w:val="24"/>
          <w:szCs w:val="24"/>
        </w:rPr>
        <w:t>ARTICULO 9°.-</w:t>
      </w:r>
      <w:r w:rsidR="00F44493">
        <w:rPr>
          <w:rFonts w:ascii="Times New Roman" w:hAnsi="Times New Roman" w:cs="Times New Roman"/>
          <w:sz w:val="24"/>
          <w:szCs w:val="24"/>
        </w:rPr>
        <w:t xml:space="preserve"> Comuníquese al D.E., al Honorable Tribunal de Cuentas de la Pcia. </w:t>
      </w:r>
      <w:proofErr w:type="gramStart"/>
      <w:r w:rsidR="00F44493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="00F44493">
        <w:rPr>
          <w:rFonts w:ascii="Times New Roman" w:hAnsi="Times New Roman" w:cs="Times New Roman"/>
          <w:sz w:val="24"/>
          <w:szCs w:val="24"/>
        </w:rPr>
        <w:t xml:space="preserve"> Bs. As. Regístrese y archívese.-</w:t>
      </w:r>
    </w:p>
    <w:p w:rsidR="00F44493" w:rsidRDefault="00F44493" w:rsidP="006858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4055" w:rsidRDefault="00614055" w:rsidP="006858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4493" w:rsidRPr="00BF2796" w:rsidRDefault="00F44493" w:rsidP="00F44493">
      <w:pPr>
        <w:pStyle w:val="Textosinformato"/>
        <w:jc w:val="both"/>
        <w:rPr>
          <w:rFonts w:ascii="Times New Roman" w:hAnsi="Times New Roman"/>
          <w:b/>
          <w:i/>
          <w:sz w:val="24"/>
          <w:szCs w:val="24"/>
        </w:rPr>
      </w:pPr>
      <w:r w:rsidRPr="00BF2796">
        <w:rPr>
          <w:rFonts w:ascii="Times New Roman" w:hAnsi="Times New Roman"/>
          <w:b/>
          <w:i/>
          <w:sz w:val="24"/>
          <w:szCs w:val="24"/>
        </w:rPr>
        <w:t>DAD</w:t>
      </w:r>
      <w:r>
        <w:rPr>
          <w:rFonts w:ascii="Times New Roman" w:hAnsi="Times New Roman"/>
          <w:b/>
          <w:i/>
          <w:sz w:val="24"/>
          <w:szCs w:val="24"/>
        </w:rPr>
        <w:t>A</w:t>
      </w:r>
      <w:r w:rsidRPr="00BF2796">
        <w:rPr>
          <w:rFonts w:ascii="Times New Roman" w:hAnsi="Times New Roman"/>
          <w:b/>
          <w:i/>
          <w:sz w:val="24"/>
          <w:szCs w:val="24"/>
        </w:rPr>
        <w:t xml:space="preserve"> EN LA SALA DE SESIONES DEL HONORABLE CONCEJO DELIBERANTE A LOS </w:t>
      </w:r>
      <w:r w:rsidR="00614055">
        <w:rPr>
          <w:rFonts w:ascii="Times New Roman" w:hAnsi="Times New Roman"/>
          <w:b/>
          <w:i/>
          <w:sz w:val="24"/>
          <w:szCs w:val="24"/>
        </w:rPr>
        <w:t>VEINTIUN</w:t>
      </w:r>
      <w:r w:rsidRPr="00BF2796">
        <w:rPr>
          <w:rFonts w:ascii="Times New Roman" w:hAnsi="Times New Roman"/>
          <w:b/>
          <w:i/>
          <w:sz w:val="24"/>
          <w:szCs w:val="24"/>
        </w:rPr>
        <w:t xml:space="preserve"> DIAS DEL MES DE DICIEMBRE DE DOS MIL VEINTE.-</w:t>
      </w:r>
    </w:p>
    <w:p w:rsidR="00F44493" w:rsidRDefault="00F44493" w:rsidP="00685808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614055" w:rsidRDefault="00614055" w:rsidP="00685808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bookmarkStart w:id="0" w:name="_GoBack"/>
      <w:bookmarkEnd w:id="0"/>
    </w:p>
    <w:p w:rsidR="00614055" w:rsidRPr="00614055" w:rsidRDefault="00614055" w:rsidP="00685808">
      <w:pPr>
        <w:jc w:val="both"/>
        <w:rPr>
          <w:rFonts w:ascii="Times New Roman" w:hAnsi="Times New Roman" w:cs="Times New Roman"/>
          <w:sz w:val="24"/>
          <w:szCs w:val="24"/>
          <w:u w:val="single"/>
          <w:lang w:val="es-ES"/>
        </w:rPr>
      </w:pPr>
      <w:r w:rsidRPr="00614055">
        <w:rPr>
          <w:rFonts w:ascii="Times New Roman" w:hAnsi="Times New Roman" w:cs="Times New Roman"/>
          <w:sz w:val="24"/>
          <w:szCs w:val="24"/>
          <w:u w:val="single"/>
          <w:lang w:val="es-ES"/>
        </w:rPr>
        <w:t>Registrada bajo el n° 2671/20.-</w:t>
      </w:r>
    </w:p>
    <w:p w:rsidR="00D9056B" w:rsidRPr="00AA34E4" w:rsidRDefault="00D9056B" w:rsidP="00AA34E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9056B" w:rsidRPr="00AA34E4" w:rsidSect="00AA34E4">
      <w:pgSz w:w="11907" w:h="16840" w:code="9"/>
      <w:pgMar w:top="2835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9368B"/>
    <w:multiLevelType w:val="hybridMultilevel"/>
    <w:tmpl w:val="0B5E998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9F674B"/>
    <w:multiLevelType w:val="hybridMultilevel"/>
    <w:tmpl w:val="E3166C8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1E0D36"/>
    <w:multiLevelType w:val="hybridMultilevel"/>
    <w:tmpl w:val="B68CABB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030687"/>
    <w:multiLevelType w:val="hybridMultilevel"/>
    <w:tmpl w:val="EA8206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4E4"/>
    <w:rsid w:val="00037A12"/>
    <w:rsid w:val="00174DAB"/>
    <w:rsid w:val="004520FE"/>
    <w:rsid w:val="0045679D"/>
    <w:rsid w:val="004C520E"/>
    <w:rsid w:val="00525C1A"/>
    <w:rsid w:val="00614055"/>
    <w:rsid w:val="00675F6D"/>
    <w:rsid w:val="00685808"/>
    <w:rsid w:val="00AA34E4"/>
    <w:rsid w:val="00D9056B"/>
    <w:rsid w:val="00DE1EC0"/>
    <w:rsid w:val="00F4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679D"/>
    <w:pPr>
      <w:ind w:left="720"/>
      <w:contextualSpacing/>
    </w:pPr>
  </w:style>
  <w:style w:type="paragraph" w:styleId="Textosinformato">
    <w:name w:val="Plain Text"/>
    <w:basedOn w:val="Normal"/>
    <w:link w:val="TextosinformatoCar"/>
    <w:rsid w:val="00F44493"/>
    <w:rPr>
      <w:rFonts w:ascii="Courier New" w:eastAsia="Times New Roman" w:hAnsi="Courier New" w:cs="Times New Roman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F44493"/>
    <w:rPr>
      <w:rFonts w:ascii="Courier New" w:eastAsia="Times New Roman" w:hAnsi="Courier New" w:cs="Times New Roman"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679D"/>
    <w:pPr>
      <w:ind w:left="720"/>
      <w:contextualSpacing/>
    </w:pPr>
  </w:style>
  <w:style w:type="paragraph" w:styleId="Textosinformato">
    <w:name w:val="Plain Text"/>
    <w:basedOn w:val="Normal"/>
    <w:link w:val="TextosinformatoCar"/>
    <w:rsid w:val="00F44493"/>
    <w:rPr>
      <w:rFonts w:ascii="Courier New" w:eastAsia="Times New Roman" w:hAnsi="Courier New" w:cs="Times New Roman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F44493"/>
    <w:rPr>
      <w:rFonts w:ascii="Courier New" w:eastAsia="Times New Roman" w:hAnsi="Courier New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1344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2020-12-22T12:17:00Z</dcterms:created>
  <dcterms:modified xsi:type="dcterms:W3CDTF">2020-12-22T12:17:00Z</dcterms:modified>
</cp:coreProperties>
</file>